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4098A" w14:textId="77777777" w:rsidR="004D5EA4" w:rsidRPr="00641E39" w:rsidRDefault="004D5EA4" w:rsidP="004D5EA4">
      <w:pPr>
        <w:widowControl/>
        <w:shd w:val="clear" w:color="auto" w:fill="009999"/>
        <w:autoSpaceDE/>
        <w:autoSpaceDN/>
        <w:spacing w:after="160" w:line="278" w:lineRule="auto"/>
        <w:jc w:val="both"/>
        <w:rPr>
          <w:rFonts w:ascii="Raleway" w:eastAsia="Arial Black" w:hAnsi="Raleway"/>
          <w:b/>
          <w:bCs/>
          <w:color w:val="FFFFFF" w:themeColor="background1"/>
          <w:w w:val="90"/>
          <w:sz w:val="32"/>
          <w:szCs w:val="32"/>
        </w:rPr>
      </w:pPr>
      <w:r w:rsidRPr="00641E39">
        <w:rPr>
          <w:rFonts w:ascii="Raleway" w:eastAsia="Arial Black" w:hAnsi="Raleway"/>
          <w:b/>
          <w:bCs/>
          <w:color w:val="FFFFFF" w:themeColor="background1"/>
          <w:w w:val="90"/>
          <w:sz w:val="32"/>
          <w:szCs w:val="32"/>
        </w:rPr>
        <w:t>Extrait du bulletin Info-</w:t>
      </w:r>
      <w:r w:rsidRPr="00641E39">
        <w:rPr>
          <w:rFonts w:ascii="Raleway" w:eastAsiaTheme="minorEastAsia" w:hAnsi="Raleway" w:cs="Arimo"/>
          <w:b/>
          <w:bCs/>
          <w:color w:val="FFFFFF" w:themeColor="background1"/>
          <w:kern w:val="2"/>
          <w:sz w:val="32"/>
          <w:szCs w:val="32"/>
          <w:lang w:val="fr-CA" w:eastAsia="fr-CA"/>
          <w14:ligatures w14:val="standardContextual"/>
        </w:rPr>
        <w:t>APDA</w:t>
      </w:r>
    </w:p>
    <w:p w14:paraId="54118BC7" w14:textId="77777777" w:rsidR="004D5EA4" w:rsidRDefault="004D5EA4" w:rsidP="004D5EA4">
      <w:pPr>
        <w:jc w:val="both"/>
        <w:rPr>
          <w:b/>
          <w:bCs/>
          <w:sz w:val="28"/>
          <w:szCs w:val="28"/>
        </w:rPr>
      </w:pPr>
    </w:p>
    <w:p w14:paraId="5B6B46A3" w14:textId="27CB4AC3" w:rsidR="00B70E30" w:rsidRDefault="00B70E30" w:rsidP="004D5EA4">
      <w:pPr>
        <w:jc w:val="both"/>
        <w:rPr>
          <w:b/>
          <w:bCs/>
          <w:sz w:val="28"/>
          <w:szCs w:val="28"/>
        </w:rPr>
      </w:pPr>
      <w:r>
        <w:rPr>
          <w:noProof/>
        </w:rPr>
        <w:drawing>
          <wp:anchor distT="0" distB="0" distL="114300" distR="114300" simplePos="0" relativeHeight="251659264" behindDoc="1" locked="0" layoutInCell="1" allowOverlap="1" wp14:anchorId="523DB9AB" wp14:editId="6C778D30">
            <wp:simplePos x="0" y="0"/>
            <wp:positionH relativeFrom="margin">
              <wp:align>left</wp:align>
            </wp:positionH>
            <wp:positionV relativeFrom="paragraph">
              <wp:posOffset>9525</wp:posOffset>
            </wp:positionV>
            <wp:extent cx="1008719" cy="1219200"/>
            <wp:effectExtent l="0" t="0" r="1270" b="0"/>
            <wp:wrapTight wrapText="bothSides">
              <wp:wrapPolygon edited="0">
                <wp:start x="0" y="0"/>
                <wp:lineTo x="0" y="21263"/>
                <wp:lineTo x="21219" y="21263"/>
                <wp:lineTo x="21219" y="0"/>
                <wp:lineTo x="0" y="0"/>
              </wp:wrapPolygon>
            </wp:wrapTight>
            <wp:docPr id="518895802" name="Image 23" descr="Une image contenant Visage humain, personne, portrait, sour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95802" name="Image 23" descr="Une image contenant Visage humain, personne, portrait, sourir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8719" cy="1219200"/>
                    </a:xfrm>
                    <a:prstGeom prst="rect">
                      <a:avLst/>
                    </a:prstGeom>
                    <a:noFill/>
                    <a:ln>
                      <a:noFill/>
                    </a:ln>
                  </pic:spPr>
                </pic:pic>
              </a:graphicData>
            </a:graphic>
          </wp:anchor>
        </w:drawing>
      </w:r>
      <w:r w:rsidRPr="00A2161A">
        <w:rPr>
          <w:b/>
          <w:bCs/>
          <w:sz w:val="28"/>
          <w:szCs w:val="28"/>
        </w:rPr>
        <w:t>Santé auditive et santé cognitive : Un lien indissociable</w:t>
      </w:r>
    </w:p>
    <w:p w14:paraId="3D81C191" w14:textId="77777777" w:rsidR="00B70E30" w:rsidRPr="0032730B" w:rsidRDefault="00B70E30" w:rsidP="004D5EA4">
      <w:pPr>
        <w:jc w:val="both"/>
        <w:rPr>
          <w:sz w:val="12"/>
          <w:szCs w:val="12"/>
        </w:rPr>
      </w:pPr>
    </w:p>
    <w:p w14:paraId="35EBB629" w14:textId="4A81E79B" w:rsidR="00B70E30" w:rsidRPr="003908F3" w:rsidRDefault="00B70E30" w:rsidP="004D5EA4">
      <w:pPr>
        <w:jc w:val="both"/>
        <w:rPr>
          <w:i/>
          <w:iCs/>
          <w:sz w:val="22"/>
        </w:rPr>
      </w:pPr>
      <w:r w:rsidRPr="003908F3">
        <w:rPr>
          <w:i/>
          <w:iCs/>
          <w:sz w:val="22"/>
        </w:rPr>
        <w:t xml:space="preserve">Par </w:t>
      </w:r>
      <w:r>
        <w:rPr>
          <w:i/>
          <w:iCs/>
          <w:sz w:val="22"/>
        </w:rPr>
        <w:t>Sarah Sadi</w:t>
      </w:r>
      <w:r w:rsidRPr="003908F3">
        <w:rPr>
          <w:i/>
          <w:iCs/>
          <w:sz w:val="22"/>
        </w:rPr>
        <w:t xml:space="preserve">, </w:t>
      </w:r>
      <w:r>
        <w:rPr>
          <w:i/>
          <w:iCs/>
          <w:sz w:val="22"/>
        </w:rPr>
        <w:t xml:space="preserve">audiologiste </w:t>
      </w:r>
    </w:p>
    <w:p w14:paraId="2EB81E9C" w14:textId="77777777" w:rsidR="00B70E30" w:rsidRDefault="00B70E30" w:rsidP="004D5EA4">
      <w:pPr>
        <w:spacing w:line="360" w:lineRule="auto"/>
        <w:jc w:val="both"/>
        <w:rPr>
          <w:sz w:val="22"/>
        </w:rPr>
      </w:pPr>
    </w:p>
    <w:p w14:paraId="67A08057" w14:textId="77777777" w:rsidR="00B70E30" w:rsidRPr="00A2161A" w:rsidRDefault="00B70E30" w:rsidP="004D5EA4">
      <w:pPr>
        <w:widowControl/>
        <w:autoSpaceDE/>
        <w:autoSpaceDN/>
        <w:spacing w:after="160" w:line="278" w:lineRule="auto"/>
        <w:jc w:val="both"/>
        <w:rPr>
          <w:lang w:val="fr-CA"/>
        </w:rPr>
      </w:pPr>
      <w:r w:rsidRPr="00A2161A">
        <w:rPr>
          <w:lang w:val="fr-CA"/>
        </w:rPr>
        <w:t>Entendre et comprendre sont souvent perçus comme synonymes, mais en réalité, ils impliquent des processus neurologiques distincts. La déficience auditive affecte la clarté avec laquelle nous percevons les sons, ce qui peut entraîner une altération dans la manière dont le cerveau traite ces informations auditives. En effet, si l'audition est compromise, notre capacité à interpréter et à comprendre les sons comme du langage significatif peut être diminuée, soulignant ainsi l'importance vitale de l'audition dans le traitement cognitif.</w:t>
      </w:r>
    </w:p>
    <w:p w14:paraId="13687069" w14:textId="77777777" w:rsidR="00B70E30" w:rsidRPr="00A2161A" w:rsidRDefault="00B70E30" w:rsidP="004D5EA4">
      <w:pPr>
        <w:widowControl/>
        <w:autoSpaceDE/>
        <w:autoSpaceDN/>
        <w:spacing w:after="160" w:line="278" w:lineRule="auto"/>
        <w:jc w:val="both"/>
        <w:rPr>
          <w:lang w:val="fr-CA"/>
        </w:rPr>
      </w:pPr>
      <w:r w:rsidRPr="00A2161A">
        <w:rPr>
          <w:lang w:val="fr-CA"/>
        </w:rPr>
        <w:t xml:space="preserve">Des études scientifiques ont démontré que la stimulation auditive maintient et renforce les fonctions cognitives telles que la mémoire, l'attention et la résolution de problèmes. Selon une étude publiée dans le </w:t>
      </w:r>
      <w:r w:rsidRPr="00A2161A">
        <w:rPr>
          <w:i/>
          <w:iCs/>
          <w:lang w:val="fr-CA"/>
        </w:rPr>
        <w:t xml:space="preserve">Journal of the American </w:t>
      </w:r>
      <w:proofErr w:type="spellStart"/>
      <w:r w:rsidRPr="00A2161A">
        <w:rPr>
          <w:i/>
          <w:iCs/>
          <w:lang w:val="fr-CA"/>
        </w:rPr>
        <w:t>Geriatrics</w:t>
      </w:r>
      <w:proofErr w:type="spellEnd"/>
      <w:r w:rsidRPr="00A2161A">
        <w:rPr>
          <w:i/>
          <w:iCs/>
          <w:lang w:val="fr-CA"/>
        </w:rPr>
        <w:t xml:space="preserve"> Society</w:t>
      </w:r>
      <w:r w:rsidRPr="00A2161A">
        <w:rPr>
          <w:lang w:val="fr-CA"/>
        </w:rPr>
        <w:t xml:space="preserve"> (Maharani et al., 2018), l'utilisation des aides auditives chez les adultes âgés de plus de 50 ans est associée à un ralentissement du déclin de la mémoire épisodique, souvent liée à la démence. Cette recherche souligne l'importance d'une intervention auditive précoce pour maintenir les fonctions cognitives à un âge avancé.</w:t>
      </w:r>
    </w:p>
    <w:p w14:paraId="28AD27B7" w14:textId="67E92493" w:rsidR="00B70E30" w:rsidRPr="00A2161A" w:rsidRDefault="004D5EA4" w:rsidP="004D5EA4">
      <w:pPr>
        <w:widowControl/>
        <w:autoSpaceDE/>
        <w:autoSpaceDN/>
        <w:spacing w:after="160" w:line="278" w:lineRule="auto"/>
        <w:jc w:val="both"/>
        <w:rPr>
          <w:lang w:val="fr-CA"/>
        </w:rPr>
      </w:pPr>
      <w:r>
        <w:rPr>
          <w:noProof/>
        </w:rPr>
        <w:drawing>
          <wp:anchor distT="0" distB="0" distL="114300" distR="114300" simplePos="0" relativeHeight="251660288" behindDoc="1" locked="0" layoutInCell="1" allowOverlap="1" wp14:anchorId="279AF7BF" wp14:editId="799907EB">
            <wp:simplePos x="0" y="0"/>
            <wp:positionH relativeFrom="column">
              <wp:posOffset>0</wp:posOffset>
            </wp:positionH>
            <wp:positionV relativeFrom="paragraph">
              <wp:posOffset>3175</wp:posOffset>
            </wp:positionV>
            <wp:extent cx="1881247" cy="1257300"/>
            <wp:effectExtent l="0" t="0" r="5080" b="0"/>
            <wp:wrapTight wrapText="bothSides">
              <wp:wrapPolygon edited="0">
                <wp:start x="875" y="0"/>
                <wp:lineTo x="0" y="655"/>
                <wp:lineTo x="0" y="19636"/>
                <wp:lineTo x="219" y="20945"/>
                <wp:lineTo x="875" y="21273"/>
                <wp:lineTo x="20564" y="21273"/>
                <wp:lineTo x="21221" y="20945"/>
                <wp:lineTo x="21440" y="19636"/>
                <wp:lineTo x="21440" y="655"/>
                <wp:lineTo x="20564" y="0"/>
                <wp:lineTo x="875" y="0"/>
              </wp:wrapPolygon>
            </wp:wrapTight>
            <wp:docPr id="1917976104" name="Image 1" descr="348,929 Closeups Sound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48,929 Closeups Sound Royalty-Free Images, Stock Photos &amp; Pictures |  Shuttersto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1247" cy="1257300"/>
                    </a:xfrm>
                    <a:prstGeom prst="rect">
                      <a:avLst/>
                    </a:prstGeom>
                    <a:ln>
                      <a:noFill/>
                    </a:ln>
                    <a:effectLst>
                      <a:softEdge rad="112500"/>
                    </a:effectLst>
                  </pic:spPr>
                </pic:pic>
              </a:graphicData>
            </a:graphic>
          </wp:anchor>
        </w:drawing>
      </w:r>
      <w:r w:rsidR="00B70E30" w:rsidRPr="00A2161A">
        <w:rPr>
          <w:lang w:val="fr-CA"/>
        </w:rPr>
        <w:t>Il est donc essentiel de ne pas ignorer les signes de déficience auditive. La prévention, comme le port de protections auditives en environnements bruyants ou l'adaptation précoce à des appareils auditifs, peut contribuer à une vie plus stimulante intellectuellement, préservant ainsi la santé du cerveau et minimisant le risque de maladies neurodégénératives telles que la démence.</w:t>
      </w:r>
    </w:p>
    <w:p w14:paraId="15D95A78" w14:textId="77777777" w:rsidR="00B70E30" w:rsidRDefault="00B70E30" w:rsidP="004D5EA4">
      <w:pPr>
        <w:widowControl/>
        <w:autoSpaceDE/>
        <w:autoSpaceDN/>
        <w:spacing w:after="160" w:line="278" w:lineRule="auto"/>
        <w:jc w:val="both"/>
        <w:rPr>
          <w:lang w:val="fr-CA"/>
        </w:rPr>
      </w:pPr>
      <w:r w:rsidRPr="00A2161A">
        <w:rPr>
          <w:lang w:val="fr-CA"/>
        </w:rPr>
        <w:t>Malheureusement, beaucoup retardent la consultation auprès d'un spécialiste de l'audition, parfois jusqu'à sept ans après les premiers signes. Il est crucial d'être attentif aux signes précurseurs chez soi et chez les autres, et de favoriser une consultation rapide.</w:t>
      </w:r>
    </w:p>
    <w:p w14:paraId="4E706FE8" w14:textId="77777777" w:rsidR="00B70E30" w:rsidRDefault="00B70E30" w:rsidP="004D5EA4">
      <w:pPr>
        <w:widowControl/>
        <w:autoSpaceDE/>
        <w:autoSpaceDN/>
        <w:spacing w:after="160" w:line="278" w:lineRule="auto"/>
        <w:jc w:val="both"/>
        <w:rPr>
          <w:lang w:val="fr-CA"/>
        </w:rPr>
      </w:pPr>
      <w:r w:rsidRPr="00A2161A">
        <w:rPr>
          <w:lang w:val="fr-CA"/>
        </w:rPr>
        <w:t>En plus de la santé auditive, l'engagement régulier dans des activités intellectuelles et sociales s'avère bénéfique pour le cerveau. Des activités comme les mots croisés, les jeux de stratégie, le chant choral, et la pratique d'un instrument stimulent divers domaines du cerveau, renforçant les connexions neuronales et offrant une protection contre le déclin cognitif.</w:t>
      </w:r>
    </w:p>
    <w:p w14:paraId="489D256E" w14:textId="77777777" w:rsidR="004D5EA4" w:rsidRDefault="004D5EA4" w:rsidP="004D5EA4">
      <w:pPr>
        <w:widowControl/>
        <w:autoSpaceDE/>
        <w:autoSpaceDN/>
        <w:spacing w:after="160" w:line="278" w:lineRule="auto"/>
        <w:jc w:val="both"/>
        <w:rPr>
          <w:lang w:val="fr-CA"/>
        </w:rPr>
      </w:pPr>
    </w:p>
    <w:p w14:paraId="6248C011" w14:textId="77777777" w:rsidR="00B70E30" w:rsidRPr="00B70E30" w:rsidRDefault="00B70E30" w:rsidP="004D5EA4">
      <w:pPr>
        <w:shd w:val="clear" w:color="auto" w:fill="009999"/>
        <w:jc w:val="both"/>
        <w:rPr>
          <w:lang w:val="fr-CA"/>
        </w:rPr>
      </w:pPr>
    </w:p>
    <w:sectPr w:rsidR="00B70E30" w:rsidRPr="00B70E30" w:rsidSect="00B70E30">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Arimo">
    <w:altName w:val="Cambria"/>
    <w:charset w:val="00"/>
    <w:family w:val="swiss"/>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E30"/>
    <w:rsid w:val="004D5EA4"/>
    <w:rsid w:val="00B227C8"/>
    <w:rsid w:val="00B70E3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590A9"/>
  <w15:chartTrackingRefBased/>
  <w15:docId w15:val="{0E1BC8B3-8D9A-4F8B-8E98-00B4BF32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E30"/>
    <w:pPr>
      <w:widowControl w:val="0"/>
      <w:autoSpaceDE w:val="0"/>
      <w:autoSpaceDN w:val="0"/>
      <w:spacing w:after="0" w:line="240" w:lineRule="auto"/>
    </w:pPr>
    <w:rPr>
      <w:rFonts w:ascii="Arial" w:eastAsia="Arial" w:hAnsi="Arial" w:cs="Arial"/>
      <w:kern w:val="0"/>
      <w:szCs w:val="22"/>
      <w:lang w:val="fr-FR"/>
      <w14:ligatures w14:val="none"/>
    </w:rPr>
  </w:style>
  <w:style w:type="paragraph" w:styleId="Titre1">
    <w:name w:val="heading 1"/>
    <w:basedOn w:val="Normal"/>
    <w:next w:val="Normal"/>
    <w:link w:val="Titre1Car"/>
    <w:uiPriority w:val="9"/>
    <w:qFormat/>
    <w:rsid w:val="00B70E30"/>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fr-CA"/>
      <w14:ligatures w14:val="standardContextual"/>
    </w:rPr>
  </w:style>
  <w:style w:type="paragraph" w:styleId="Titre2">
    <w:name w:val="heading 2"/>
    <w:basedOn w:val="Normal"/>
    <w:next w:val="Normal"/>
    <w:link w:val="Titre2Car"/>
    <w:uiPriority w:val="9"/>
    <w:semiHidden/>
    <w:unhideWhenUsed/>
    <w:qFormat/>
    <w:rsid w:val="00B70E30"/>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fr-CA"/>
      <w14:ligatures w14:val="standardContextual"/>
    </w:rPr>
  </w:style>
  <w:style w:type="paragraph" w:styleId="Titre3">
    <w:name w:val="heading 3"/>
    <w:basedOn w:val="Normal"/>
    <w:next w:val="Normal"/>
    <w:link w:val="Titre3Car"/>
    <w:uiPriority w:val="9"/>
    <w:semiHidden/>
    <w:unhideWhenUsed/>
    <w:qFormat/>
    <w:rsid w:val="00B70E30"/>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fr-CA"/>
      <w14:ligatures w14:val="standardContextual"/>
    </w:rPr>
  </w:style>
  <w:style w:type="paragraph" w:styleId="Titre4">
    <w:name w:val="heading 4"/>
    <w:basedOn w:val="Normal"/>
    <w:next w:val="Normal"/>
    <w:link w:val="Titre4Car"/>
    <w:uiPriority w:val="9"/>
    <w:semiHidden/>
    <w:unhideWhenUsed/>
    <w:qFormat/>
    <w:rsid w:val="00B70E30"/>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lang w:val="fr-CA"/>
      <w14:ligatures w14:val="standardContextual"/>
    </w:rPr>
  </w:style>
  <w:style w:type="paragraph" w:styleId="Titre5">
    <w:name w:val="heading 5"/>
    <w:basedOn w:val="Normal"/>
    <w:next w:val="Normal"/>
    <w:link w:val="Titre5Car"/>
    <w:uiPriority w:val="9"/>
    <w:semiHidden/>
    <w:unhideWhenUsed/>
    <w:qFormat/>
    <w:rsid w:val="00B70E30"/>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lang w:val="fr-CA"/>
      <w14:ligatures w14:val="standardContextual"/>
    </w:rPr>
  </w:style>
  <w:style w:type="paragraph" w:styleId="Titre6">
    <w:name w:val="heading 6"/>
    <w:basedOn w:val="Normal"/>
    <w:next w:val="Normal"/>
    <w:link w:val="Titre6Car"/>
    <w:uiPriority w:val="9"/>
    <w:semiHidden/>
    <w:unhideWhenUsed/>
    <w:qFormat/>
    <w:rsid w:val="00B70E30"/>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lang w:val="fr-CA"/>
      <w14:ligatures w14:val="standardContextual"/>
    </w:rPr>
  </w:style>
  <w:style w:type="paragraph" w:styleId="Titre7">
    <w:name w:val="heading 7"/>
    <w:basedOn w:val="Normal"/>
    <w:next w:val="Normal"/>
    <w:link w:val="Titre7Car"/>
    <w:uiPriority w:val="9"/>
    <w:semiHidden/>
    <w:unhideWhenUsed/>
    <w:qFormat/>
    <w:rsid w:val="00B70E30"/>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lang w:val="fr-CA"/>
      <w14:ligatures w14:val="standardContextual"/>
    </w:rPr>
  </w:style>
  <w:style w:type="paragraph" w:styleId="Titre8">
    <w:name w:val="heading 8"/>
    <w:basedOn w:val="Normal"/>
    <w:next w:val="Normal"/>
    <w:link w:val="Titre8Car"/>
    <w:uiPriority w:val="9"/>
    <w:semiHidden/>
    <w:unhideWhenUsed/>
    <w:qFormat/>
    <w:rsid w:val="00B70E30"/>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lang w:val="fr-CA"/>
      <w14:ligatures w14:val="standardContextual"/>
    </w:rPr>
  </w:style>
  <w:style w:type="paragraph" w:styleId="Titre9">
    <w:name w:val="heading 9"/>
    <w:basedOn w:val="Normal"/>
    <w:next w:val="Normal"/>
    <w:link w:val="Titre9Car"/>
    <w:uiPriority w:val="9"/>
    <w:semiHidden/>
    <w:unhideWhenUsed/>
    <w:qFormat/>
    <w:rsid w:val="00B70E30"/>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lang w:val="fr-C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70E3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70E3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70E3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70E3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70E3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70E3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70E3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70E3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70E30"/>
    <w:rPr>
      <w:rFonts w:eastAsiaTheme="majorEastAsia" w:cstheme="majorBidi"/>
      <w:color w:val="272727" w:themeColor="text1" w:themeTint="D8"/>
    </w:rPr>
  </w:style>
  <w:style w:type="paragraph" w:styleId="Titre">
    <w:name w:val="Title"/>
    <w:basedOn w:val="Normal"/>
    <w:next w:val="Normal"/>
    <w:link w:val="TitreCar"/>
    <w:uiPriority w:val="10"/>
    <w:qFormat/>
    <w:rsid w:val="00B70E30"/>
    <w:pPr>
      <w:widowControl/>
      <w:autoSpaceDE/>
      <w:autoSpaceDN/>
      <w:spacing w:after="80"/>
      <w:contextualSpacing/>
    </w:pPr>
    <w:rPr>
      <w:rFonts w:asciiTheme="majorHAnsi" w:eastAsiaTheme="majorEastAsia" w:hAnsiTheme="majorHAnsi" w:cstheme="majorBidi"/>
      <w:spacing w:val="-10"/>
      <w:kern w:val="28"/>
      <w:sz w:val="56"/>
      <w:szCs w:val="56"/>
      <w:lang w:val="fr-CA"/>
      <w14:ligatures w14:val="standardContextual"/>
    </w:rPr>
  </w:style>
  <w:style w:type="character" w:customStyle="1" w:styleId="TitreCar">
    <w:name w:val="Titre Car"/>
    <w:basedOn w:val="Policepardfaut"/>
    <w:link w:val="Titre"/>
    <w:uiPriority w:val="10"/>
    <w:rsid w:val="00B70E3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70E30"/>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fr-CA"/>
      <w14:ligatures w14:val="standardContextual"/>
    </w:rPr>
  </w:style>
  <w:style w:type="character" w:customStyle="1" w:styleId="Sous-titreCar">
    <w:name w:val="Sous-titre Car"/>
    <w:basedOn w:val="Policepardfaut"/>
    <w:link w:val="Sous-titre"/>
    <w:uiPriority w:val="11"/>
    <w:rsid w:val="00B70E3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70E30"/>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fr-CA"/>
      <w14:ligatures w14:val="standardContextual"/>
    </w:rPr>
  </w:style>
  <w:style w:type="character" w:customStyle="1" w:styleId="CitationCar">
    <w:name w:val="Citation Car"/>
    <w:basedOn w:val="Policepardfaut"/>
    <w:link w:val="Citation"/>
    <w:uiPriority w:val="29"/>
    <w:rsid w:val="00B70E30"/>
    <w:rPr>
      <w:i/>
      <w:iCs/>
      <w:color w:val="404040" w:themeColor="text1" w:themeTint="BF"/>
    </w:rPr>
  </w:style>
  <w:style w:type="paragraph" w:styleId="Paragraphedeliste">
    <w:name w:val="List Paragraph"/>
    <w:basedOn w:val="Normal"/>
    <w:uiPriority w:val="34"/>
    <w:qFormat/>
    <w:rsid w:val="00B70E30"/>
    <w:pPr>
      <w:widowControl/>
      <w:autoSpaceDE/>
      <w:autoSpaceDN/>
      <w:spacing w:after="160" w:line="278" w:lineRule="auto"/>
      <w:ind w:left="720"/>
      <w:contextualSpacing/>
    </w:pPr>
    <w:rPr>
      <w:rFonts w:asciiTheme="minorHAnsi" w:eastAsiaTheme="minorHAnsi" w:hAnsiTheme="minorHAnsi" w:cstheme="minorBidi"/>
      <w:kern w:val="2"/>
      <w:szCs w:val="24"/>
      <w:lang w:val="fr-CA"/>
      <w14:ligatures w14:val="standardContextual"/>
    </w:rPr>
  </w:style>
  <w:style w:type="character" w:styleId="Accentuationintense">
    <w:name w:val="Intense Emphasis"/>
    <w:basedOn w:val="Policepardfaut"/>
    <w:uiPriority w:val="21"/>
    <w:qFormat/>
    <w:rsid w:val="00B70E30"/>
    <w:rPr>
      <w:i/>
      <w:iCs/>
      <w:color w:val="0F4761" w:themeColor="accent1" w:themeShade="BF"/>
    </w:rPr>
  </w:style>
  <w:style w:type="paragraph" w:styleId="Citationintense">
    <w:name w:val="Intense Quote"/>
    <w:basedOn w:val="Normal"/>
    <w:next w:val="Normal"/>
    <w:link w:val="CitationintenseCar"/>
    <w:uiPriority w:val="30"/>
    <w:qFormat/>
    <w:rsid w:val="00B70E30"/>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fr-CA"/>
      <w14:ligatures w14:val="standardContextual"/>
    </w:rPr>
  </w:style>
  <w:style w:type="character" w:customStyle="1" w:styleId="CitationintenseCar">
    <w:name w:val="Citation intense Car"/>
    <w:basedOn w:val="Policepardfaut"/>
    <w:link w:val="Citationintense"/>
    <w:uiPriority w:val="30"/>
    <w:rsid w:val="00B70E30"/>
    <w:rPr>
      <w:i/>
      <w:iCs/>
      <w:color w:val="0F4761" w:themeColor="accent1" w:themeShade="BF"/>
    </w:rPr>
  </w:style>
  <w:style w:type="character" w:styleId="Rfrenceintense">
    <w:name w:val="Intense Reference"/>
    <w:basedOn w:val="Policepardfaut"/>
    <w:uiPriority w:val="32"/>
    <w:qFormat/>
    <w:rsid w:val="00B70E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cb653b-3a4d-41e8-99b7-2c12f9744d37" xsi:nil="true"/>
    <_ip_UnifiedCompliancePolicyProperties xmlns="http://schemas.microsoft.com/sharepoint/v3" xsi:nil="true"/>
    <lcf76f155ced4ddcb4097134ff3c332f xmlns="3387a95e-e325-4fda-95d4-b5cac651f3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A7BE0-2D84-487E-8072-C47BAA78E34C}">
  <ds:schemaRefs>
    <ds:schemaRef ds:uri="http://schemas.microsoft.com/office/2006/metadata/properties"/>
    <ds:schemaRef ds:uri="http://schemas.microsoft.com/office/infopath/2007/PartnerControls"/>
    <ds:schemaRef ds:uri="http://schemas.microsoft.com/sharepoint/v3"/>
    <ds:schemaRef ds:uri="36cb653b-3a4d-41e8-99b7-2c12f9744d37"/>
    <ds:schemaRef ds:uri="3387a95e-e325-4fda-95d4-b5cac651f31e"/>
  </ds:schemaRefs>
</ds:datastoreItem>
</file>

<file path=customXml/itemProps2.xml><?xml version="1.0" encoding="utf-8"?>
<ds:datastoreItem xmlns:ds="http://schemas.openxmlformats.org/officeDocument/2006/customXml" ds:itemID="{6981C168-D5C9-4D49-8DE7-C5E049FA8218}">
  <ds:schemaRefs>
    <ds:schemaRef ds:uri="http://schemas.microsoft.com/sharepoint/v3/contenttype/forms"/>
  </ds:schemaRefs>
</ds:datastoreItem>
</file>

<file path=customXml/itemProps3.xml><?xml version="1.0" encoding="utf-8"?>
<ds:datastoreItem xmlns:ds="http://schemas.openxmlformats.org/officeDocument/2006/customXml" ds:itemID="{87A61C69-8399-4241-9144-A6F37BD2A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87a95e-e325-4fda-95d4-b5cac651f31e"/>
    <ds:schemaRef ds:uri="36cb653b-3a4d-41e8-99b7-2c12f974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1917</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Villeneuve | Apda</dc:creator>
  <cp:keywords/>
  <dc:description/>
  <cp:lastModifiedBy>Louise Villeneuve | Apda</cp:lastModifiedBy>
  <cp:revision>2</cp:revision>
  <dcterms:created xsi:type="dcterms:W3CDTF">2026-10-01T17:32:00Z</dcterms:created>
  <dcterms:modified xsi:type="dcterms:W3CDTF">2026-10-01T17:32:00Z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ies>
</file>