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BD29" w14:textId="38C65EA6" w:rsidR="006C65FD" w:rsidRPr="00641E39" w:rsidRDefault="00A51540" w:rsidP="00641E39">
      <w:pPr>
        <w:widowControl/>
        <w:shd w:val="clear" w:color="auto" w:fill="009999"/>
        <w:autoSpaceDE/>
        <w:autoSpaceDN/>
        <w:spacing w:after="160" w:line="278" w:lineRule="auto"/>
        <w:jc w:val="center"/>
        <w:rPr>
          <w:rFonts w:ascii="Raleway" w:eastAsia="Arial Black" w:hAnsi="Raleway"/>
          <w:b/>
          <w:bCs/>
          <w:color w:val="FFFFFF" w:themeColor="background1"/>
          <w:w w:val="90"/>
          <w:sz w:val="32"/>
          <w:szCs w:val="32"/>
        </w:rPr>
      </w:pPr>
      <w:r>
        <w:rPr>
          <w:rFonts w:ascii="Raleway" w:eastAsia="Arial Black" w:hAnsi="Raleway"/>
          <w:b/>
          <w:bCs/>
          <w:color w:val="FFFFFF" w:themeColor="background1"/>
          <w:w w:val="90"/>
          <w:sz w:val="32"/>
          <w:szCs w:val="32"/>
        </w:rPr>
        <w:t>Accessibilité communicationnelle</w:t>
      </w:r>
    </w:p>
    <w:p w14:paraId="1A1FE9F1" w14:textId="77777777" w:rsidR="006C65FD" w:rsidRPr="00383FBC" w:rsidRDefault="006C65FD" w:rsidP="00F36538">
      <w:pPr>
        <w:ind w:right="1183"/>
        <w:rPr>
          <w:rFonts w:ascii="Arial Black" w:eastAsia="Arial Black" w:hAnsi="Arial Black"/>
          <w:w w:val="90"/>
          <w:sz w:val="12"/>
          <w:szCs w:val="12"/>
        </w:rPr>
      </w:pPr>
    </w:p>
    <w:p w14:paraId="0F6AF4CC" w14:textId="77777777" w:rsidR="00A51540" w:rsidRPr="00190270" w:rsidRDefault="00A51540" w:rsidP="00A51540">
      <w:pPr>
        <w:rPr>
          <w:rFonts w:ascii="Raleway" w:hAnsi="Raleway"/>
          <w:b/>
          <w:bCs/>
          <w:sz w:val="32"/>
          <w:szCs w:val="32"/>
          <w:lang w:val="fr-CA"/>
        </w:rPr>
      </w:pPr>
      <w:r w:rsidRPr="00190270">
        <w:rPr>
          <w:rFonts w:ascii="Raleway" w:hAnsi="Raleway"/>
          <w:b/>
          <w:bCs/>
          <w:sz w:val="32"/>
          <w:szCs w:val="32"/>
          <w:lang w:val="fr-CA"/>
        </w:rPr>
        <w:t>La communication accessible : une responsabilité partagée</w:t>
      </w:r>
    </w:p>
    <w:p w14:paraId="344CCCA3" w14:textId="25136FC9" w:rsidR="00A51540" w:rsidRDefault="00A51540" w:rsidP="00A51540">
      <w:pPr>
        <w:rPr>
          <w:lang w:val="fr-CA"/>
        </w:rPr>
      </w:pPr>
    </w:p>
    <w:p w14:paraId="3E361E6F" w14:textId="77777777" w:rsidR="007C169D" w:rsidRDefault="001802FC" w:rsidP="00E20D9E">
      <w:pPr>
        <w:widowControl/>
        <w:autoSpaceDE/>
        <w:autoSpaceDN/>
        <w:spacing w:after="160" w:line="278" w:lineRule="auto"/>
        <w:jc w:val="both"/>
        <w:rPr>
          <w:rFonts w:ascii="Arimo" w:eastAsiaTheme="minorHAnsi" w:hAnsi="Arimo" w:cs="Arimo"/>
          <w:kern w:val="2"/>
          <w:sz w:val="28"/>
          <w:szCs w:val="28"/>
          <w:lang w:val="fr-CA"/>
          <w14:ligatures w14:val="standardContextual"/>
        </w:rPr>
      </w:pPr>
      <w:r w:rsidRPr="007C169D">
        <w:rPr>
          <w:noProof/>
          <w:sz w:val="28"/>
          <w:szCs w:val="28"/>
          <w14:ligatures w14:val="standardContextual"/>
        </w:rPr>
        <w:drawing>
          <wp:anchor distT="0" distB="0" distL="114300" distR="114300" simplePos="0" relativeHeight="251659264" behindDoc="1" locked="0" layoutInCell="1" allowOverlap="1" wp14:anchorId="7125882C" wp14:editId="10E53CF7">
            <wp:simplePos x="0" y="0"/>
            <wp:positionH relativeFrom="margin">
              <wp:align>right</wp:align>
            </wp:positionH>
            <wp:positionV relativeFrom="paragraph">
              <wp:posOffset>76200</wp:posOffset>
            </wp:positionV>
            <wp:extent cx="2043254" cy="657225"/>
            <wp:effectExtent l="0" t="0" r="0" b="0"/>
            <wp:wrapTight wrapText="bothSides">
              <wp:wrapPolygon edited="0">
                <wp:start x="0" y="0"/>
                <wp:lineTo x="0" y="20661"/>
                <wp:lineTo x="21352" y="20661"/>
                <wp:lineTo x="21352" y="0"/>
                <wp:lineTo x="0" y="0"/>
              </wp:wrapPolygon>
            </wp:wrapTight>
            <wp:docPr id="12001561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5611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3254" cy="657225"/>
                    </a:xfrm>
                    <a:prstGeom prst="rect">
                      <a:avLst/>
                    </a:prstGeom>
                  </pic:spPr>
                </pic:pic>
              </a:graphicData>
            </a:graphic>
          </wp:anchor>
        </w:drawing>
      </w:r>
      <w:r w:rsidR="00A51540" w:rsidRPr="007C169D">
        <w:rPr>
          <w:rFonts w:ascii="Arimo" w:eastAsiaTheme="minorHAnsi" w:hAnsi="Arimo" w:cs="Arimo"/>
          <w:kern w:val="2"/>
          <w:sz w:val="28"/>
          <w:szCs w:val="28"/>
          <w:lang w:val="fr-CA"/>
          <w14:ligatures w14:val="standardContextual"/>
        </w:rPr>
        <w:t xml:space="preserve">Au Canada, il est estimé qu’une personne sur six vit des situations de handicap en lien avec la communication qui peuvent être causées par des difficultés à parler, à comprendre, à lire ou à écrire. </w:t>
      </w:r>
    </w:p>
    <w:p w14:paraId="05192C2F" w14:textId="77777777" w:rsidR="0001100B" w:rsidRDefault="0001100B" w:rsidP="00AE4294">
      <w:pPr>
        <w:widowControl/>
        <w:autoSpaceDE/>
        <w:autoSpaceDN/>
        <w:spacing w:line="278" w:lineRule="auto"/>
        <w:jc w:val="both"/>
        <w:rPr>
          <w:rFonts w:ascii="Arimo" w:eastAsiaTheme="minorHAnsi" w:hAnsi="Arimo" w:cs="Arimo"/>
          <w:kern w:val="2"/>
          <w:sz w:val="28"/>
          <w:szCs w:val="28"/>
          <w:lang w:val="fr-CA"/>
          <w14:ligatures w14:val="standardContextual"/>
        </w:rPr>
      </w:pPr>
    </w:p>
    <w:p w14:paraId="026DB0EA" w14:textId="1A90C083" w:rsidR="009B55F4" w:rsidRDefault="00A51540" w:rsidP="00E20D9E">
      <w:pPr>
        <w:widowControl/>
        <w:autoSpaceDE/>
        <w:autoSpaceDN/>
        <w:spacing w:after="160" w:line="278" w:lineRule="auto"/>
        <w:jc w:val="both"/>
        <w:rPr>
          <w:rFonts w:ascii="Arimo" w:eastAsiaTheme="minorHAnsi" w:hAnsi="Arimo" w:cs="Arimo"/>
          <w:kern w:val="2"/>
          <w:sz w:val="28"/>
          <w:szCs w:val="28"/>
          <w:lang w:val="fr-CA"/>
          <w14:ligatures w14:val="standardContextual"/>
        </w:rPr>
      </w:pPr>
      <w:r w:rsidRPr="007C169D">
        <w:rPr>
          <w:rFonts w:ascii="Arimo" w:eastAsiaTheme="minorHAnsi" w:hAnsi="Arimo" w:cs="Arimo"/>
          <w:kern w:val="2"/>
          <w:sz w:val="28"/>
          <w:szCs w:val="28"/>
          <w:lang w:val="fr-CA"/>
          <w14:ligatures w14:val="standardContextual"/>
        </w:rPr>
        <w:t xml:space="preserve">Bien que la Convention relative aux droits des personnes handicapées de l’ONU (2006) évoque que les États parties doivent prendre des mesures appropriées pour assurer l’accès à l’information et à la communication sur la base de l’égalité avec les autres, les personnes faisant face à des situations de handicap en lien avec la communication continuent de rencontrer de nombreux obstacles dans divers contextes. </w:t>
      </w:r>
    </w:p>
    <w:p w14:paraId="384C1FE4" w14:textId="7C306C93" w:rsidR="0001100B" w:rsidRPr="00501C9B" w:rsidRDefault="00501C9B" w:rsidP="00501C9B">
      <w:pPr>
        <w:pStyle w:val="Paragraphedeliste"/>
        <w:numPr>
          <w:ilvl w:val="0"/>
          <w:numId w:val="1"/>
        </w:numPr>
        <w:jc w:val="both"/>
        <w:rPr>
          <w:rFonts w:ascii="Arimo" w:hAnsi="Arimo" w:cs="Arimo"/>
          <w:b/>
          <w:bCs/>
          <w:sz w:val="28"/>
          <w:szCs w:val="28"/>
        </w:rPr>
      </w:pPr>
      <w:r w:rsidRPr="00501C9B">
        <w:rPr>
          <w:rFonts w:ascii="Arimo" w:hAnsi="Arimo" w:cs="Arimo"/>
          <w:b/>
          <w:bCs/>
          <w:sz w:val="28"/>
          <w:szCs w:val="28"/>
        </w:rPr>
        <w:t>Environnements non favorables à la communication</w:t>
      </w:r>
    </w:p>
    <w:p w14:paraId="571319A6" w14:textId="6C8D2254" w:rsidR="00A51540" w:rsidRDefault="00193B74" w:rsidP="00E20D9E">
      <w:pPr>
        <w:widowControl/>
        <w:autoSpaceDE/>
        <w:autoSpaceDN/>
        <w:spacing w:after="160" w:line="278" w:lineRule="auto"/>
        <w:jc w:val="both"/>
        <w:rPr>
          <w:rFonts w:ascii="Arimo" w:eastAsiaTheme="minorHAnsi" w:hAnsi="Arimo" w:cs="Arimo"/>
          <w:kern w:val="2"/>
          <w:sz w:val="28"/>
          <w:szCs w:val="28"/>
          <w:lang w:val="fr-CA"/>
          <w14:ligatures w14:val="standardContextual"/>
        </w:rPr>
      </w:pPr>
      <w:r w:rsidRPr="007C169D">
        <w:rPr>
          <w:noProof/>
          <w:sz w:val="28"/>
          <w:szCs w:val="28"/>
          <w14:ligatures w14:val="standardContextual"/>
        </w:rPr>
        <w:drawing>
          <wp:anchor distT="0" distB="0" distL="114300" distR="114300" simplePos="0" relativeHeight="251658240" behindDoc="1" locked="0" layoutInCell="1" allowOverlap="1" wp14:anchorId="7399629A" wp14:editId="1E717980">
            <wp:simplePos x="0" y="0"/>
            <wp:positionH relativeFrom="margin">
              <wp:posOffset>57150</wp:posOffset>
            </wp:positionH>
            <wp:positionV relativeFrom="paragraph">
              <wp:posOffset>102870</wp:posOffset>
            </wp:positionV>
            <wp:extent cx="1884320" cy="1419225"/>
            <wp:effectExtent l="152400" t="152400" r="363855" b="352425"/>
            <wp:wrapTight wrapText="bothSides">
              <wp:wrapPolygon edited="0">
                <wp:start x="874" y="-2319"/>
                <wp:lineTo x="-1747" y="-1740"/>
                <wp:lineTo x="-1747" y="22615"/>
                <wp:lineTo x="2184" y="26094"/>
                <wp:lineTo x="2184" y="26674"/>
                <wp:lineTo x="21622" y="26674"/>
                <wp:lineTo x="21840" y="26094"/>
                <wp:lineTo x="25335" y="21745"/>
                <wp:lineTo x="25553" y="2899"/>
                <wp:lineTo x="22932" y="-1450"/>
                <wp:lineTo x="22714" y="-2319"/>
                <wp:lineTo x="874" y="-2319"/>
              </wp:wrapPolygon>
            </wp:wrapTight>
            <wp:docPr id="18257419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4199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4320" cy="1419225"/>
                    </a:xfrm>
                    <a:prstGeom prst="rect">
                      <a:avLst/>
                    </a:prstGeom>
                    <a:ln>
                      <a:noFill/>
                    </a:ln>
                    <a:effectLst>
                      <a:outerShdw blurRad="292100" dist="139700" dir="2700000" algn="tl" rotWithShape="0">
                        <a:srgbClr val="333333">
                          <a:alpha val="65000"/>
                        </a:srgbClr>
                      </a:outerShdw>
                    </a:effectLst>
                  </pic:spPr>
                </pic:pic>
              </a:graphicData>
            </a:graphic>
          </wp:anchor>
        </w:drawing>
      </w:r>
      <w:r w:rsidR="00A51540" w:rsidRPr="007C169D">
        <w:rPr>
          <w:rFonts w:ascii="Arimo" w:eastAsiaTheme="minorHAnsi" w:hAnsi="Arimo" w:cs="Arimo"/>
          <w:kern w:val="2"/>
          <w:sz w:val="28"/>
          <w:szCs w:val="28"/>
          <w:lang w:val="fr-CA"/>
          <w14:ligatures w14:val="standardContextual"/>
        </w:rPr>
        <w:t>Ces obstacles peuvent inclure des environnements non favorables à la communication, des personnes interlocutrices adoptant des attitudes nuisibles ou utilisant peu de stratégies de communication efficaces ainsi que l’absence de ressources nécessaires</w:t>
      </w:r>
      <w:r w:rsidR="009B55F4" w:rsidRPr="007C169D">
        <w:rPr>
          <w:rFonts w:ascii="Arimo" w:eastAsiaTheme="minorHAnsi" w:hAnsi="Arimo" w:cs="Arimo"/>
          <w:kern w:val="2"/>
          <w:sz w:val="28"/>
          <w:szCs w:val="28"/>
          <w:lang w:val="fr-CA"/>
          <w14:ligatures w14:val="standardContextual"/>
        </w:rPr>
        <w:t>.</w:t>
      </w:r>
      <w:r w:rsidR="00A51540" w:rsidRPr="007C169D">
        <w:rPr>
          <w:rFonts w:ascii="Arimo" w:eastAsiaTheme="minorHAnsi" w:hAnsi="Arimo" w:cs="Arimo"/>
          <w:kern w:val="2"/>
          <w:sz w:val="28"/>
          <w:szCs w:val="28"/>
          <w:lang w:val="fr-CA"/>
          <w14:ligatures w14:val="standardContextual"/>
        </w:rPr>
        <w:t xml:space="preserve"> Un accès entravé à la communication peut avoir des répercussions importantes sur différentes sphères de la vie des individus, dont leur participation sociale et leur qualité de</w:t>
      </w:r>
      <w:r w:rsidR="001E4A33" w:rsidRPr="007C169D">
        <w:rPr>
          <w:rFonts w:ascii="Arimo" w:eastAsiaTheme="minorHAnsi" w:hAnsi="Arimo" w:cs="Arimo"/>
          <w:kern w:val="2"/>
          <w:sz w:val="28"/>
          <w:szCs w:val="28"/>
          <w:lang w:val="fr-CA"/>
          <w14:ligatures w14:val="standardContextual"/>
        </w:rPr>
        <w:t xml:space="preserve"> vie</w:t>
      </w:r>
      <w:r w:rsidR="00A51540" w:rsidRPr="007C169D">
        <w:rPr>
          <w:rFonts w:ascii="Arimo" w:eastAsiaTheme="minorHAnsi" w:hAnsi="Arimo" w:cs="Arimo"/>
          <w:kern w:val="2"/>
          <w:sz w:val="28"/>
          <w:szCs w:val="28"/>
          <w:lang w:val="fr-CA"/>
          <w14:ligatures w14:val="standardContextual"/>
        </w:rPr>
        <w:t>.</w:t>
      </w:r>
    </w:p>
    <w:p w14:paraId="272BEA69" w14:textId="1436EBBB" w:rsidR="0001100B" w:rsidRPr="007C169D" w:rsidRDefault="0001100B" w:rsidP="00AE4294">
      <w:pPr>
        <w:widowControl/>
        <w:autoSpaceDE/>
        <w:autoSpaceDN/>
        <w:spacing w:line="278" w:lineRule="auto"/>
        <w:jc w:val="both"/>
        <w:rPr>
          <w:rFonts w:ascii="Arimo" w:eastAsiaTheme="minorHAnsi" w:hAnsi="Arimo" w:cs="Arimo"/>
          <w:kern w:val="2"/>
          <w:sz w:val="28"/>
          <w:szCs w:val="28"/>
          <w:lang w:val="fr-CA"/>
          <w14:ligatures w14:val="standardContextual"/>
        </w:rPr>
      </w:pPr>
    </w:p>
    <w:p w14:paraId="17517A3F" w14:textId="28768D2F" w:rsidR="001875E6" w:rsidRDefault="00A51540" w:rsidP="00E20D9E">
      <w:pPr>
        <w:widowControl/>
        <w:autoSpaceDE/>
        <w:autoSpaceDN/>
        <w:spacing w:after="160" w:line="278" w:lineRule="auto"/>
        <w:jc w:val="both"/>
        <w:rPr>
          <w:rFonts w:ascii="Arimo" w:eastAsiaTheme="minorHAnsi" w:hAnsi="Arimo" w:cs="Arimo"/>
          <w:kern w:val="2"/>
          <w:sz w:val="28"/>
          <w:szCs w:val="28"/>
          <w:lang w:val="fr-CA"/>
          <w14:ligatures w14:val="standardContextual"/>
        </w:rPr>
      </w:pPr>
      <w:r w:rsidRPr="007C169D">
        <w:rPr>
          <w:rFonts w:ascii="Arimo" w:eastAsiaTheme="minorHAnsi" w:hAnsi="Arimo" w:cs="Arimo"/>
          <w:kern w:val="2"/>
          <w:sz w:val="28"/>
          <w:szCs w:val="28"/>
          <w:lang w:val="fr-CA"/>
          <w14:ligatures w14:val="standardContextual"/>
        </w:rPr>
        <w:t>L’accessibilité communicationnelle se définit comme l’ensemble des moyens et des opportunités permettant aux individus de communiquer de manière efficace, précise et authentique, leur offrant ainsi un accès équitable aux biens, aux services et aux milieux de la société et leur permettant d’en bénéficier au même titre que le reste de la population</w:t>
      </w:r>
      <w:r w:rsidR="00B13D0E" w:rsidRPr="007C169D">
        <w:rPr>
          <w:rFonts w:ascii="Arimo" w:eastAsiaTheme="minorHAnsi" w:hAnsi="Arimo" w:cs="Arimo"/>
          <w:kern w:val="2"/>
          <w:sz w:val="28"/>
          <w:szCs w:val="28"/>
          <w:lang w:val="fr-CA"/>
          <w14:ligatures w14:val="standardContextual"/>
        </w:rPr>
        <w:t xml:space="preserve">. </w:t>
      </w:r>
    </w:p>
    <w:p w14:paraId="031BEDF4" w14:textId="6E463078" w:rsidR="00A51540" w:rsidRDefault="00A51540" w:rsidP="00A51540">
      <w:pPr>
        <w:rPr>
          <w:rFonts w:ascii="Arimo" w:hAnsi="Arimo" w:cs="Arimo"/>
          <w:szCs w:val="24"/>
          <w:lang w:val="fr-CA"/>
        </w:rPr>
      </w:pPr>
      <w:r w:rsidRPr="00C7792D">
        <w:rPr>
          <w:rFonts w:ascii="Arimo" w:hAnsi="Arimo" w:cs="Arimo"/>
          <w:szCs w:val="24"/>
          <w:lang w:val="fr-CA"/>
        </w:rPr>
        <w:t>Source : 92</w:t>
      </w:r>
      <w:r w:rsidRPr="00C7792D">
        <w:rPr>
          <w:rFonts w:ascii="Arimo" w:hAnsi="Arimo" w:cs="Arimo"/>
          <w:szCs w:val="24"/>
          <w:vertAlign w:val="superscript"/>
          <w:lang w:val="fr-CA"/>
        </w:rPr>
        <w:t>e</w:t>
      </w:r>
      <w:r w:rsidRPr="00C7792D">
        <w:rPr>
          <w:rFonts w:ascii="Arimo" w:hAnsi="Arimo" w:cs="Arimo"/>
          <w:szCs w:val="24"/>
          <w:lang w:val="fr-CA"/>
        </w:rPr>
        <w:t> Congrès de l’</w:t>
      </w:r>
      <w:proofErr w:type="spellStart"/>
      <w:r w:rsidRPr="00C7792D">
        <w:rPr>
          <w:rFonts w:ascii="Arimo" w:hAnsi="Arimo" w:cs="Arimo"/>
          <w:szCs w:val="24"/>
          <w:lang w:val="fr-CA"/>
        </w:rPr>
        <w:t>Acfas</w:t>
      </w:r>
      <w:proofErr w:type="spellEnd"/>
      <w:r w:rsidR="00A95DD3">
        <w:rPr>
          <w:rFonts w:ascii="Arimo" w:hAnsi="Arimo" w:cs="Arimo"/>
          <w:szCs w:val="24"/>
          <w:lang w:val="fr-CA"/>
        </w:rPr>
        <w:t xml:space="preserve"> (2025)</w:t>
      </w:r>
    </w:p>
    <w:p w14:paraId="0D2CDC72" w14:textId="77777777" w:rsidR="00E04E2F" w:rsidRPr="00C7792D" w:rsidRDefault="00E04E2F" w:rsidP="00A51540">
      <w:pPr>
        <w:rPr>
          <w:rFonts w:ascii="Arimo" w:hAnsi="Arimo" w:cs="Arimo"/>
          <w:szCs w:val="24"/>
          <w:lang w:val="fr-CA"/>
        </w:rPr>
      </w:pPr>
    </w:p>
    <w:p w14:paraId="2D36A5C6" w14:textId="546A73DB" w:rsidR="006C65FD" w:rsidRDefault="006C65FD" w:rsidP="006C65FD">
      <w:pPr>
        <w:widowControl/>
        <w:shd w:val="clear" w:color="auto" w:fill="009999"/>
        <w:autoSpaceDE/>
        <w:autoSpaceDN/>
        <w:spacing w:after="160" w:line="278" w:lineRule="auto"/>
      </w:pPr>
    </w:p>
    <w:sectPr w:rsidR="006C65FD" w:rsidSect="00683E33">
      <w:pgSz w:w="12240" w:h="15840"/>
      <w:pgMar w:top="1134"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Arimo">
    <w:altName w:val="Cambria"/>
    <w:charset w:val="00"/>
    <w:family w:val="swiss"/>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33C"/>
    <w:multiLevelType w:val="hybridMultilevel"/>
    <w:tmpl w:val="36E2CC1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75751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38"/>
    <w:rsid w:val="00006D27"/>
    <w:rsid w:val="0001100B"/>
    <w:rsid w:val="001802FC"/>
    <w:rsid w:val="001875E6"/>
    <w:rsid w:val="00190270"/>
    <w:rsid w:val="00193B74"/>
    <w:rsid w:val="001E4A33"/>
    <w:rsid w:val="00383FBC"/>
    <w:rsid w:val="00501C9B"/>
    <w:rsid w:val="00577118"/>
    <w:rsid w:val="00641E39"/>
    <w:rsid w:val="00670665"/>
    <w:rsid w:val="00683E33"/>
    <w:rsid w:val="006C65FD"/>
    <w:rsid w:val="007C169D"/>
    <w:rsid w:val="007F3B0E"/>
    <w:rsid w:val="008C66BB"/>
    <w:rsid w:val="009A560E"/>
    <w:rsid w:val="009B55F4"/>
    <w:rsid w:val="00A51540"/>
    <w:rsid w:val="00A95DD3"/>
    <w:rsid w:val="00AE4294"/>
    <w:rsid w:val="00B13D0E"/>
    <w:rsid w:val="00B227C8"/>
    <w:rsid w:val="00C7792D"/>
    <w:rsid w:val="00D9737B"/>
    <w:rsid w:val="00DF2641"/>
    <w:rsid w:val="00E04E2F"/>
    <w:rsid w:val="00E20D9E"/>
    <w:rsid w:val="00F365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08A2"/>
  <w15:chartTrackingRefBased/>
  <w15:docId w15:val="{627F884B-DC4F-43BA-938D-7390DFE2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538"/>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F3653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F3653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F3653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F3653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F3653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F3653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F3653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F3653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F3653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65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65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65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65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65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65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65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65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6538"/>
    <w:rPr>
      <w:rFonts w:eastAsiaTheme="majorEastAsia" w:cstheme="majorBidi"/>
      <w:color w:val="272727" w:themeColor="text1" w:themeTint="D8"/>
    </w:rPr>
  </w:style>
  <w:style w:type="paragraph" w:styleId="Titre">
    <w:name w:val="Title"/>
    <w:basedOn w:val="Normal"/>
    <w:next w:val="Normal"/>
    <w:link w:val="TitreCar"/>
    <w:uiPriority w:val="10"/>
    <w:qFormat/>
    <w:rsid w:val="00F36538"/>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F365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653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F365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653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F36538"/>
    <w:rPr>
      <w:i/>
      <w:iCs/>
      <w:color w:val="404040" w:themeColor="text1" w:themeTint="BF"/>
    </w:rPr>
  </w:style>
  <w:style w:type="paragraph" w:styleId="Paragraphedeliste">
    <w:name w:val="List Paragraph"/>
    <w:basedOn w:val="Normal"/>
    <w:uiPriority w:val="34"/>
    <w:qFormat/>
    <w:rsid w:val="00F36538"/>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F36538"/>
    <w:rPr>
      <w:i/>
      <w:iCs/>
      <w:color w:val="0F4761" w:themeColor="accent1" w:themeShade="BF"/>
    </w:rPr>
  </w:style>
  <w:style w:type="paragraph" w:styleId="Citationintense">
    <w:name w:val="Intense Quote"/>
    <w:basedOn w:val="Normal"/>
    <w:next w:val="Normal"/>
    <w:link w:val="CitationintenseCar"/>
    <w:uiPriority w:val="30"/>
    <w:qFormat/>
    <w:rsid w:val="00F3653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F36538"/>
    <w:rPr>
      <w:i/>
      <w:iCs/>
      <w:color w:val="0F4761" w:themeColor="accent1" w:themeShade="BF"/>
    </w:rPr>
  </w:style>
  <w:style w:type="character" w:styleId="Rfrenceintense">
    <w:name w:val="Intense Reference"/>
    <w:basedOn w:val="Policepardfaut"/>
    <w:uiPriority w:val="32"/>
    <w:qFormat/>
    <w:rsid w:val="00F36538"/>
    <w:rPr>
      <w:b/>
      <w:bCs/>
      <w:smallCaps/>
      <w:color w:val="0F4761" w:themeColor="accent1" w:themeShade="BF"/>
      <w:spacing w:val="5"/>
    </w:rPr>
  </w:style>
  <w:style w:type="table" w:styleId="Grilledutableau">
    <w:name w:val="Table Grid"/>
    <w:basedOn w:val="TableauNormal"/>
    <w:uiPriority w:val="39"/>
    <w:rsid w:val="00F36538"/>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51540"/>
    <w:rPr>
      <w:color w:val="467886" w:themeColor="hyperlink"/>
      <w:u w:val="single"/>
    </w:rPr>
  </w:style>
  <w:style w:type="character" w:styleId="Mentionnonrsolue">
    <w:name w:val="Unresolved Mention"/>
    <w:basedOn w:val="Policepardfaut"/>
    <w:uiPriority w:val="99"/>
    <w:semiHidden/>
    <w:unhideWhenUsed/>
    <w:rsid w:val="00A51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AF661B-A68F-4789-8D26-E739BA008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F97A7-2183-4CE9-BDCE-A49021F61D25}">
  <ds:schemaRefs>
    <ds:schemaRef ds:uri="http://schemas.microsoft.com/sharepoint/v3/contenttype/forms"/>
  </ds:schemaRefs>
</ds:datastoreItem>
</file>

<file path=customXml/itemProps3.xml><?xml version="1.0" encoding="utf-8"?>
<ds:datastoreItem xmlns:ds="http://schemas.openxmlformats.org/officeDocument/2006/customXml" ds:itemID="{0E8D988E-1E0F-4016-9003-4A0C8CA750CD}">
  <ds:schemaRefs>
    <ds:schemaRef ds:uri="http://schemas.microsoft.com/office/2006/metadata/properties"/>
    <ds:schemaRef ds:uri="http://schemas.microsoft.com/office/infopath/2007/PartnerControls"/>
    <ds:schemaRef ds:uri="http://schemas.microsoft.com/sharepoint/v3"/>
    <ds:schemaRef ds:uri="36cb653b-3a4d-41e8-99b7-2c12f9744d37"/>
    <ds:schemaRef ds:uri="3387a95e-e325-4fda-95d4-b5cac651f31e"/>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243</Words>
  <Characters>1341</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24</cp:revision>
  <dcterms:created xsi:type="dcterms:W3CDTF">2026-10-07T00:04:00Z</dcterms:created>
  <dcterms:modified xsi:type="dcterms:W3CDTF">2026-10-07T00:25:00Z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